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1A75" w:rsidRDefault="00551A75" w:rsidP="00551A75">
      <w:pPr>
        <w:rPr>
          <w:rFonts w:ascii="Arial" w:hAnsi="Arial" w:cs="Arial"/>
        </w:rPr>
      </w:pPr>
      <w:bookmarkStart w:id="0" w:name="_GoBack"/>
      <w:bookmarkEnd w:id="0"/>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Default="00551A75" w:rsidP="00551A75">
      <w:pPr>
        <w:rPr>
          <w:rFonts w:ascii="Arial" w:hAnsi="Arial" w:cs="Arial"/>
        </w:rPr>
      </w:pPr>
    </w:p>
    <w:p w:rsidR="00551A75" w:rsidRPr="000767EC" w:rsidRDefault="001A1FA9" w:rsidP="00551A75">
      <w:pPr>
        <w:pStyle w:val="Heading1"/>
        <w:keepNext w:val="0"/>
        <w:jc w:val="center"/>
        <w:rPr>
          <w:rFonts w:ascii="Arial" w:hAnsi="Arial" w:cs="Arial"/>
          <w:sz w:val="32"/>
        </w:rPr>
      </w:pPr>
      <w:r w:rsidRPr="000767EC">
        <w:rPr>
          <w:rFonts w:ascii="Arial" w:hAnsi="Arial" w:cs="Arial"/>
          <w:sz w:val="32"/>
        </w:rPr>
        <w:t>APPENDIX G</w:t>
      </w:r>
    </w:p>
    <w:p w:rsidR="00551A75" w:rsidRPr="000767EC" w:rsidRDefault="00551A75" w:rsidP="00551A75"/>
    <w:p w:rsidR="001A1FA9" w:rsidRPr="00551A75" w:rsidRDefault="001A1FA9" w:rsidP="00551A75">
      <w:pPr>
        <w:pStyle w:val="Heading1"/>
        <w:keepNext w:val="0"/>
        <w:jc w:val="center"/>
        <w:rPr>
          <w:rFonts w:ascii="Arial" w:hAnsi="Arial" w:cs="Arial"/>
          <w:sz w:val="36"/>
        </w:rPr>
      </w:pPr>
      <w:r w:rsidRPr="000767EC">
        <w:rPr>
          <w:rFonts w:ascii="Arial" w:hAnsi="Arial" w:cs="Arial"/>
          <w:sz w:val="28"/>
        </w:rPr>
        <w:t>An Overview of the PROVIEW Module</w:t>
      </w:r>
    </w:p>
    <w:p w:rsidR="001A1FA9" w:rsidRPr="000F22FE" w:rsidRDefault="00551A75">
      <w:pPr>
        <w:pStyle w:val="Heading1"/>
        <w:rPr>
          <w:rFonts w:ascii="Arial" w:hAnsi="Arial" w:cs="Arial"/>
          <w:sz w:val="28"/>
        </w:rPr>
      </w:pPr>
      <w:r>
        <w:rPr>
          <w:rFonts w:ascii="Arial" w:hAnsi="Arial" w:cs="Arial"/>
          <w:sz w:val="28"/>
        </w:rPr>
        <w:br w:type="page"/>
      </w:r>
    </w:p>
    <w:p w:rsidR="001A1FA9" w:rsidRPr="000F22FE" w:rsidRDefault="001A1FA9">
      <w:pPr>
        <w:pStyle w:val="Heading1"/>
        <w:rPr>
          <w:rFonts w:ascii="Arial" w:hAnsi="Arial" w:cs="Arial"/>
          <w:sz w:val="28"/>
        </w:rPr>
      </w:pPr>
      <w:r w:rsidRPr="000F22FE">
        <w:rPr>
          <w:rFonts w:ascii="Arial" w:hAnsi="Arial" w:cs="Arial"/>
          <w:sz w:val="28"/>
        </w:rPr>
        <w:lastRenderedPageBreak/>
        <w:t>Overview</w:t>
      </w:r>
    </w:p>
    <w:p w:rsidR="001A1FA9" w:rsidRPr="000F22FE" w:rsidRDefault="001A1FA9">
      <w:pPr>
        <w:pStyle w:val="Heading1"/>
        <w:rPr>
          <w:rFonts w:ascii="Arial" w:hAnsi="Arial" w:cs="Arial"/>
        </w:rPr>
      </w:pPr>
    </w:p>
    <w:p w:rsidR="001A1FA9" w:rsidRPr="000F22FE" w:rsidRDefault="001A1FA9">
      <w:pPr>
        <w:pStyle w:val="Heading1"/>
        <w:rPr>
          <w:rFonts w:ascii="Arial" w:hAnsi="Arial" w:cs="Arial"/>
        </w:rPr>
      </w:pPr>
      <w:r w:rsidRPr="000F22FE">
        <w:rPr>
          <w:rFonts w:ascii="Arial" w:hAnsi="Arial" w:cs="Arial"/>
        </w:rPr>
        <w:t>Module Introduction</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The PROVIEW™ Module is an automatic expansion planning module which can determine the optimal balanced marketing and supply plan for a utility system under a prescribed set of constraints and assumptions. PROVIEW enables planners to study a wide variety of long range expansion planning options including alternative technologies, unit conversions, unit capacity sizes, load management, marketing and conservation programs, fuel costs, reliability limits, and financial constraints in order to develop a coordinated integrated plan which would be best suited for the utility. PROVIEW simulates the operation of a utility system to determine the cost and reliability effects of adding resources to the system or modifying the load through marketing programs, and it examines the impact on the construction budget of building new units.</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 xml:space="preserve">Accurate results and quick turnaround time allow the strategic planner to evaluate numerous expansion scenarios quickly. The Module achieves its speed of operation by eliminating the detail which is typically not needed for these kinds of "screening" applications. The dispatch of alternatives can be performed on an annual basis or in user–defined dispatch periods (seasons). The probabilistic production cost approach used by PROVIEW is identical to that used in the </w:t>
      </w:r>
      <w:r w:rsidR="00746CCC" w:rsidRPr="000F22FE">
        <w:rPr>
          <w:rFonts w:ascii="Arial" w:hAnsi="Arial" w:cs="Arial"/>
        </w:rPr>
        <w:t>STRATEGIST</w:t>
      </w:r>
      <w:r w:rsidRPr="000F22FE">
        <w:rPr>
          <w:rFonts w:ascii="Arial" w:hAnsi="Arial" w:cs="Arial"/>
        </w:rPr>
        <w:t>™ Generation and Fuel Module (GAF). In fact, a GAF database containing information pertaining to the utility system can be directly used for a PROVIEW simulation. PROVIEW can also use PROMOD IV® data after it is passed through its data translator.</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 xml:space="preserve">PROVIEW analyzes marketing program options in conjunction with the Load Forecast Adjustment Module. This module allows detailed treatment of system, class, or end use loads. The planner specifies hourly demand side programs. Marketing program alternatives are examined through successive increases in the number of program starts for generic options. The programs in turn modify peak demand, energy sales, and chronological typical week load profiles. </w:t>
      </w:r>
      <w:proofErr w:type="gramStart"/>
      <w:r w:rsidRPr="000F22FE">
        <w:rPr>
          <w:rFonts w:ascii="Arial" w:hAnsi="Arial" w:cs="Arial"/>
        </w:rPr>
        <w:t>Marketing programs in PROVIEW may decrease or increase system sales and requirements.</w:t>
      </w:r>
      <w:proofErr w:type="gramEnd"/>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The PROVIEW module provides the user with three options for expansion planning analysis (the PROVIEW RUN FLAG setting for each is in parentheses):  Dynamic Programming ('D'), Generalized Benders Decomposition ('O'), and Independent Processing ('X').</w:t>
      </w:r>
    </w:p>
    <w:p w:rsidR="001A1FA9" w:rsidRPr="000F22FE" w:rsidRDefault="001A1FA9">
      <w:pPr>
        <w:rPr>
          <w:rFonts w:ascii="Arial" w:hAnsi="Arial" w:cs="Arial"/>
        </w:rPr>
      </w:pPr>
      <w:r w:rsidRPr="000F22FE">
        <w:rPr>
          <w:rFonts w:ascii="Arial" w:hAnsi="Arial" w:cs="Arial"/>
        </w:rPr>
        <w:t>Dynamic Programming is the acknowledged state–of–the–art in utility expansion planning analysis. The Dynamic Programming Option will select the best expansion plan for the planning period. This option applies a dynamic programming optimization procedure coupled with end effects analysis. In each year, feasible combinations of alternatives are evaluated and saved. At the end of the planning period, each potential expansion plan is subjected to end effects analysis.</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The Dynamic Programming option provides the user with options as to which objective function is to be optimized. For typical system expansion planning analysis, the net present worth of utility cost is minimized. For studies in which marketing program alternatives are to be considered, the present worth of the study period average rate, total cost (including customer cost), or societal cost (including externalities) may be employed.  For studies in which system profitability is to be analyzed, the net present worth of total unit profitability is maximized.  In addition, any analysis may be re</w:t>
      </w:r>
      <w:r w:rsidR="00D410C4">
        <w:rPr>
          <w:rFonts w:ascii="Arial" w:hAnsi="Arial" w:cs="Arial"/>
        </w:rPr>
        <w:t>-</w:t>
      </w:r>
      <w:r w:rsidRPr="000F22FE">
        <w:rPr>
          <w:rFonts w:ascii="Arial" w:hAnsi="Arial" w:cs="Arial"/>
        </w:rPr>
        <w:t>ranked based on financial objective functions to provide a complete picture as to which plan is truly "optimal."</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Generalized Benders Decomposition (GBD) is a fast and efficient algorithm which ensures an optimal mixture of alternatives while accurately recognizing the nonlinearities of probabilistic production costing. This algorithm essentially walks along the surface of the optimal frontier thereby avoiding the brute force of direct enumeration. While this algorithm is more tightly defined than a general purpose dynamic program (i.e., only thermal resource alternatives can be optimized), the speed gains (at least 100 times faster than a dynamic programming algorithm) and the assurance of optimality are extremely useful in capacity planning.</w:t>
      </w:r>
    </w:p>
    <w:p w:rsidR="001A1FA9" w:rsidRPr="000F22FE" w:rsidRDefault="001A1FA9">
      <w:pPr>
        <w:rPr>
          <w:rFonts w:ascii="Arial" w:hAnsi="Arial" w:cs="Arial"/>
        </w:rPr>
      </w:pPr>
    </w:p>
    <w:p w:rsidR="001A1FA9" w:rsidRDefault="001A1FA9">
      <w:pPr>
        <w:rPr>
          <w:rFonts w:ascii="Arial" w:hAnsi="Arial" w:cs="Arial"/>
        </w:rPr>
      </w:pPr>
      <w:r w:rsidRPr="000F22FE">
        <w:rPr>
          <w:rFonts w:ascii="Arial" w:hAnsi="Arial" w:cs="Arial"/>
        </w:rPr>
        <w:t xml:space="preserve">Outputs produced include the generating capacity additions or load reductions in each year, total present worth of utility cost, </w:t>
      </w:r>
      <w:proofErr w:type="gramStart"/>
      <w:r w:rsidRPr="000F22FE">
        <w:rPr>
          <w:rFonts w:ascii="Arial" w:hAnsi="Arial" w:cs="Arial"/>
        </w:rPr>
        <w:t>present</w:t>
      </w:r>
      <w:proofErr w:type="gramEnd"/>
      <w:r w:rsidRPr="000F22FE">
        <w:rPr>
          <w:rFonts w:ascii="Arial" w:hAnsi="Arial" w:cs="Arial"/>
        </w:rPr>
        <w:t xml:space="preserve"> worth of average rates, annual capital requirements, annual operating cost, fuel requirements, reserve margin, and other detailed results that a user may require.</w:t>
      </w:r>
    </w:p>
    <w:p w:rsidR="00D410C4" w:rsidRPr="000F22FE" w:rsidRDefault="00D410C4">
      <w:pPr>
        <w:rPr>
          <w:rFonts w:ascii="Arial" w:hAnsi="Arial" w:cs="Arial"/>
        </w:rPr>
      </w:pPr>
    </w:p>
    <w:p w:rsidR="001A1FA9" w:rsidRPr="000F22FE" w:rsidRDefault="001A1FA9">
      <w:pPr>
        <w:rPr>
          <w:rFonts w:ascii="Arial" w:hAnsi="Arial" w:cs="Arial"/>
        </w:rPr>
      </w:pPr>
      <w:r w:rsidRPr="000F22FE">
        <w:rPr>
          <w:rFonts w:ascii="Arial" w:hAnsi="Arial" w:cs="Arial"/>
        </w:rPr>
        <w:t xml:space="preserve">The PROVIEW documentation includes chapters describing module methodology, operation, input data requirements and output reports. For discussion of simulation of an existing generating system, see the </w:t>
      </w:r>
      <w:r w:rsidR="00746CCC" w:rsidRPr="000F22FE">
        <w:rPr>
          <w:rFonts w:ascii="Arial" w:hAnsi="Arial" w:cs="Arial"/>
        </w:rPr>
        <w:t>STRATEGIST</w:t>
      </w:r>
      <w:r w:rsidRPr="000F22FE">
        <w:rPr>
          <w:rFonts w:ascii="Arial" w:hAnsi="Arial" w:cs="Arial"/>
        </w:rPr>
        <w:t xml:space="preserve"> GAF module documentation. For discussion of simulation of existing loads, see the </w:t>
      </w:r>
      <w:r w:rsidR="00746CCC" w:rsidRPr="000F22FE">
        <w:rPr>
          <w:rFonts w:ascii="Arial" w:hAnsi="Arial" w:cs="Arial"/>
        </w:rPr>
        <w:t>STRATEGIST</w:t>
      </w:r>
      <w:r w:rsidRPr="000F22FE">
        <w:rPr>
          <w:rFonts w:ascii="Arial" w:hAnsi="Arial" w:cs="Arial"/>
        </w:rPr>
        <w:t xml:space="preserve"> LFA module documentation.</w:t>
      </w: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pStyle w:val="Heading1"/>
        <w:rPr>
          <w:rFonts w:ascii="Arial" w:hAnsi="Arial" w:cs="Arial"/>
          <w:sz w:val="28"/>
        </w:rPr>
      </w:pPr>
      <w:r w:rsidRPr="000F22FE">
        <w:rPr>
          <w:rFonts w:ascii="Arial" w:hAnsi="Arial" w:cs="Arial"/>
          <w:sz w:val="28"/>
        </w:rPr>
        <w:t>Module Methodology</w:t>
      </w:r>
    </w:p>
    <w:p w:rsidR="001A1FA9" w:rsidRPr="000F22FE" w:rsidRDefault="001A1FA9">
      <w:pPr>
        <w:pStyle w:val="Heading1"/>
        <w:rPr>
          <w:rFonts w:ascii="Arial" w:hAnsi="Arial" w:cs="Arial"/>
        </w:rPr>
      </w:pPr>
    </w:p>
    <w:p w:rsidR="001A1FA9" w:rsidRPr="000F22FE" w:rsidRDefault="001A1FA9">
      <w:pPr>
        <w:pStyle w:val="Heading1"/>
        <w:rPr>
          <w:rFonts w:ascii="Arial" w:hAnsi="Arial" w:cs="Arial"/>
        </w:rPr>
      </w:pPr>
      <w:r w:rsidRPr="000F22FE">
        <w:rPr>
          <w:rFonts w:ascii="Arial" w:hAnsi="Arial" w:cs="Arial"/>
        </w:rPr>
        <w:t>Dynamic Programming Defined</w:t>
      </w:r>
    </w:p>
    <w:p w:rsidR="001A1FA9" w:rsidRPr="000F22FE" w:rsidRDefault="001A1FA9">
      <w:pPr>
        <w:rPr>
          <w:rFonts w:ascii="Arial" w:hAnsi="Arial" w:cs="Arial"/>
        </w:rPr>
      </w:pPr>
    </w:p>
    <w:p w:rsidR="001A1FA9" w:rsidRDefault="001A1FA9">
      <w:pPr>
        <w:rPr>
          <w:rFonts w:ascii="Arial" w:hAnsi="Arial" w:cs="Arial"/>
        </w:rPr>
      </w:pPr>
      <w:r w:rsidRPr="000F22FE">
        <w:rPr>
          <w:rFonts w:ascii="Arial" w:hAnsi="Arial" w:cs="Arial"/>
        </w:rPr>
        <w:t>Dynamic programming is a mathematical technique useful for making a sequence of interrelated decisions. It is a systematic procedure for determining the combination of decisions that maximizes the desired outcome. Rather than using a standard mathematical formulation, dynamic programming is a general approach to problem solving. Equations used must be developed to fit each individual situation or problem.</w:t>
      </w:r>
    </w:p>
    <w:p w:rsidR="00D410C4" w:rsidRPr="000F22FE" w:rsidRDefault="00D410C4">
      <w:pPr>
        <w:rPr>
          <w:rFonts w:ascii="Arial" w:hAnsi="Arial" w:cs="Arial"/>
        </w:rPr>
      </w:pPr>
    </w:p>
    <w:p w:rsidR="001A1FA9" w:rsidRPr="000F22FE" w:rsidRDefault="001A1FA9">
      <w:pPr>
        <w:rPr>
          <w:rFonts w:ascii="Arial" w:hAnsi="Arial" w:cs="Arial"/>
        </w:rPr>
      </w:pPr>
      <w:r w:rsidRPr="000F22FE">
        <w:rPr>
          <w:rFonts w:ascii="Arial" w:hAnsi="Arial" w:cs="Arial"/>
        </w:rPr>
        <w:t>The dynamic programming algorithm used by PROVIEW to analyze the generation expansion problem is described as follows. In each year of the study all numeric combinations of the available alternatives are considered. Each unique combination of alternatives is considered a state.</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The primary objective is to optimize the selected objective function subject to the user specified constraints. Each combination of alternatives that satisfies the primary objective is considered to be a feasible state and is saved by the program. Note that a state is defined by the number of each alternative resource making up the state, regardless of whether the resources were added in the current or a previous year.</w:t>
      </w:r>
    </w:p>
    <w:p w:rsidR="001A1FA9" w:rsidRPr="000F22FE" w:rsidRDefault="001A1FA9">
      <w:pPr>
        <w:rPr>
          <w:rFonts w:ascii="Arial" w:hAnsi="Arial" w:cs="Arial"/>
        </w:rPr>
      </w:pPr>
      <w:r w:rsidRPr="000F22FE">
        <w:rPr>
          <w:rFonts w:ascii="Arial" w:hAnsi="Arial" w:cs="Arial"/>
        </w:rPr>
        <w:t xml:space="preserve">As the </w:t>
      </w:r>
      <w:proofErr w:type="gramStart"/>
      <w:r w:rsidRPr="000F22FE">
        <w:rPr>
          <w:rFonts w:ascii="Arial" w:hAnsi="Arial" w:cs="Arial"/>
        </w:rPr>
        <w:t>years</w:t>
      </w:r>
      <w:proofErr w:type="gramEnd"/>
      <w:r w:rsidRPr="000F22FE">
        <w:rPr>
          <w:rFonts w:ascii="Arial" w:hAnsi="Arial" w:cs="Arial"/>
        </w:rPr>
        <w:t xml:space="preserve"> progress and the amount of new capacity required increases, the number of possible combinations as well as the number of feasible states increase. This in turn becomes an extremely large computational and data storage problem. The computational and storage problems increase approximately exponentially with the number of alternatives considered. The manner in which an analyst chooses to address these problems will affect the ability of the dynamic programming algorithm to accurately find the optimal solution.</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An example with two alternative types, a 200 MW coal unit and a 60 MW combustion turbine, is shown in Figure PRV-1. In the first year, two states (combinations) are found that satisfy the constraints and result in reserves between the user specified minimum and maximum. Again, the state description is the number of coal units and the number of combustion turbines included in the state. In the example, the state (0</w:t>
      </w:r>
      <w:proofErr w:type="gramStart"/>
      <w:r w:rsidRPr="000F22FE">
        <w:rPr>
          <w:rFonts w:ascii="Arial" w:hAnsi="Arial" w:cs="Arial"/>
        </w:rPr>
        <w:t>,4</w:t>
      </w:r>
      <w:proofErr w:type="gramEnd"/>
      <w:r w:rsidRPr="000F22FE">
        <w:rPr>
          <w:rFonts w:ascii="Arial" w:hAnsi="Arial" w:cs="Arial"/>
        </w:rPr>
        <w:t>) has no coal units and four combustion turbines. The state (1</w:t>
      </w:r>
      <w:proofErr w:type="gramStart"/>
      <w:r w:rsidRPr="000F22FE">
        <w:rPr>
          <w:rFonts w:ascii="Arial" w:hAnsi="Arial" w:cs="Arial"/>
        </w:rPr>
        <w:t>,0</w:t>
      </w:r>
      <w:proofErr w:type="gramEnd"/>
      <w:r w:rsidRPr="000F22FE">
        <w:rPr>
          <w:rFonts w:ascii="Arial" w:hAnsi="Arial" w:cs="Arial"/>
        </w:rPr>
        <w:t>) contains one coal unit and no combustion turbines. The capital costs are based on the economic carrying charges associated with each alternative in the state. The production costs are defined as the total system cost from the Generation and Fuel Module based on a full probabilistic dispatch for the year in question. Marketing programs related costs are developed by running the Load Forecast Adjustment Module. The present value of the total of production, marketing programs, and capital costs are saved as the accumulated cost to date for each state.</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In subsequent years, each of the feasible states from the prior year is considered one at a time as an origin state. Each origin state is then eligible to generate additional states used as the basis for determining feasible states in the current year. For each origin state, all of the numeric possible combinations of the origin state and the alternative resources available are considered. Each combination (state) that satisfies all of the constraints and results in reserves between the specified minimum and maximum is saved as a feasible state.</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The convergent states switch determines how many new states are generated and saved for the current year. It also determines the way the present value of the production cost is computed for the new states. When a particular state can be reached from more than one origin state, if the switch is turned on (default value 1), only one new state is said to exist and the path with the best objective function value is saved. In the example, using the default value for convergent state switch, four feasible states were found in the second year. Note that the state (1</w:t>
      </w:r>
      <w:proofErr w:type="gramStart"/>
      <w:r w:rsidRPr="000F22FE">
        <w:rPr>
          <w:rFonts w:ascii="Arial" w:hAnsi="Arial" w:cs="Arial"/>
        </w:rPr>
        <w:t>,4</w:t>
      </w:r>
      <w:proofErr w:type="gramEnd"/>
      <w:r w:rsidRPr="000F22FE">
        <w:rPr>
          <w:rFonts w:ascii="Arial" w:hAnsi="Arial" w:cs="Arial"/>
        </w:rPr>
        <w:t>) could have been reached from either of the states in the first year. In this case, only the path from state (0</w:t>
      </w:r>
      <w:proofErr w:type="gramStart"/>
      <w:r w:rsidRPr="000F22FE">
        <w:rPr>
          <w:rFonts w:ascii="Arial" w:hAnsi="Arial" w:cs="Arial"/>
        </w:rPr>
        <w:t>,4</w:t>
      </w:r>
      <w:proofErr w:type="gramEnd"/>
      <w:r w:rsidRPr="000F22FE">
        <w:rPr>
          <w:rFonts w:ascii="Arial" w:hAnsi="Arial" w:cs="Arial"/>
        </w:rPr>
        <w:t>) was saved because it resulted in a lower accumulated cost than the path from state (1,0). Turning off the convergent states switch for either of these alternatives by setting its value to 2 or 3 would have resulted in two new states (with identical current year description (1</w:t>
      </w:r>
      <w:proofErr w:type="gramStart"/>
      <w:r w:rsidRPr="000F22FE">
        <w:rPr>
          <w:rFonts w:ascii="Arial" w:hAnsi="Arial" w:cs="Arial"/>
        </w:rPr>
        <w:t>,4</w:t>
      </w:r>
      <w:proofErr w:type="gramEnd"/>
      <w:r w:rsidRPr="000F22FE">
        <w:rPr>
          <w:rFonts w:ascii="Arial" w:hAnsi="Arial" w:cs="Arial"/>
        </w:rPr>
        <w:t>) saved). In this case, the current year production cost is computed only once and passed to both new states when the convergent states switch takes the value of 3. Otherwise, the current year production cost is computed separately for both new states saved. For each feasible state, the state description, the objective function value to date, and the origin state index are saved. In the subsequent years, the objective function value to date equals the objective function for the origin state plus the present value of the production and capital cost from the current state. The index number of the origin state is used to retrace the optimal path arriving at any state.</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The analysis continues in this fashion until the last year of the study is processed. At this point, end effects are considered to account for differences in operating characteristics, loads after market program impacts, fuel costs, operations and maintenance costs, and lives of the alternatives after the study horizon.</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 xml:space="preserve">The end </w:t>
      </w:r>
      <w:proofErr w:type="gramStart"/>
      <w:r w:rsidRPr="000F22FE">
        <w:rPr>
          <w:rFonts w:ascii="Arial" w:hAnsi="Arial" w:cs="Arial"/>
        </w:rPr>
        <w:t>effects</w:t>
      </w:r>
      <w:proofErr w:type="gramEnd"/>
      <w:r w:rsidRPr="000F22FE">
        <w:rPr>
          <w:rFonts w:ascii="Arial" w:hAnsi="Arial" w:cs="Arial"/>
        </w:rPr>
        <w:t xml:space="preserve"> total costs equals the present value of capital costs plus market program costs plus production costs. The capital costs equal the economic carrying cost associated with each year of the specified end effects period. Production costs equal the total system cost from a single period simulation representing the same specified end effects period. The dispatch for end effects is based on constant loads and "time weighted" inputs for fuel, and operating costs. Marketing program costs are included in end effects by escalating the DSM cost results from the end effects run and discounting as appropriate.</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When marketing program options are considered, the rates minimization, total cost, or societal cost objective function should be used. The final average rate objective function value is the present day equivalent of total system costs for the study period divided by the present day equivalent of total future KWH sales. The present day equivalent of total system costs is simply the present value derived by discounting all future costs to base year dollars. The present day equivalent of total KWH sales is developed using a separate REAL DISCOUNT RATE which should be set to the nominal discount rate adjusted for expected inflation. The real discount rate is appropriate since KWH sales are a quantity and expected monetary inflation should have no impact on the present equivalent of a future quantity.</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The total cost objective function value is the present value of revenue cost plus the present value of customer costs as computed in the Load Forecast Adjustment Module and the Generation and Fuel Module.</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The societal cost objective function value is the present value of total cost plus the present value of externalities as computed in the Load Forecast Adjustment Module and Generation and Fuel Module.</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 xml:space="preserve">The unit profitability objective function value is the present value of total unit revenues less total unit expenditures as computed in the Generation and Fuel Module, less capital costs.  Unit profitability will not be calculated unless either this objective function is chosen or the GAF. </w:t>
      </w:r>
      <w:proofErr w:type="gramStart"/>
      <w:r w:rsidRPr="000F22FE">
        <w:rPr>
          <w:rFonts w:ascii="Arial" w:hAnsi="Arial" w:cs="Arial"/>
        </w:rPr>
        <w:t>INPUT.</w:t>
      </w:r>
      <w:proofErr w:type="gramEnd"/>
      <w:r w:rsidRPr="000F22FE">
        <w:rPr>
          <w:rFonts w:ascii="Arial" w:hAnsi="Arial" w:cs="Arial"/>
        </w:rPr>
        <w:t xml:space="preserve"> </w:t>
      </w:r>
      <w:proofErr w:type="gramStart"/>
      <w:r w:rsidRPr="000F22FE">
        <w:rPr>
          <w:rFonts w:ascii="Arial" w:hAnsi="Arial" w:cs="Arial"/>
        </w:rPr>
        <w:t>PARAMETERS.</w:t>
      </w:r>
      <w:proofErr w:type="gramEnd"/>
      <w:r w:rsidRPr="000F22FE">
        <w:rPr>
          <w:rFonts w:ascii="Arial" w:hAnsi="Arial" w:cs="Arial"/>
        </w:rPr>
        <w:t xml:space="preserve"> UNIT PROFITABILITY FLAG is equal to 1 or 2.</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The final economic optimal plan is selected as the one having the optimal present value objective function value after the end effects analysis. The economic optimal and suboptimal plans can be printed through the Integrated Plan Report.</w:t>
      </w:r>
    </w:p>
    <w:p w:rsidR="001A1FA9" w:rsidRPr="000F22FE" w:rsidRDefault="001A1FA9">
      <w:pPr>
        <w:rPr>
          <w:rFonts w:ascii="Arial" w:hAnsi="Arial" w:cs="Arial"/>
        </w:rPr>
      </w:pPr>
    </w:p>
    <w:p w:rsidR="001A1FA9" w:rsidRPr="000F22FE" w:rsidRDefault="001A1FA9">
      <w:pPr>
        <w:rPr>
          <w:rFonts w:ascii="Arial" w:hAnsi="Arial" w:cs="Arial"/>
        </w:rPr>
      </w:pPr>
    </w:p>
    <w:p w:rsidR="000C4D7C" w:rsidRDefault="000C4D7C">
      <w:pPr>
        <w:pStyle w:val="Heading1"/>
        <w:rPr>
          <w:rFonts w:ascii="Arial" w:hAnsi="Arial" w:cs="Arial"/>
        </w:rPr>
      </w:pPr>
    </w:p>
    <w:p w:rsidR="001A1FA9" w:rsidRPr="000F22FE" w:rsidRDefault="001A1FA9">
      <w:pPr>
        <w:pStyle w:val="Heading1"/>
        <w:rPr>
          <w:rFonts w:ascii="Arial" w:hAnsi="Arial" w:cs="Arial"/>
        </w:rPr>
      </w:pPr>
      <w:r w:rsidRPr="000F22FE">
        <w:rPr>
          <w:rFonts w:ascii="Arial" w:hAnsi="Arial" w:cs="Arial"/>
        </w:rPr>
        <w:t>Bellman’s Principle of Optimality</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Bellman's Principle of Optimality states that:  If a path between point A and C must contain point B, then the optimal path from A to B will always be on the optimal path from A to C, through B. Thus if two proposed paths converge at a single point, Bellman's Principle is used to determine which is the optimal path (plan).</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In making this decision, the principle assumes that all future expenses (Production, Market Program, Customer, etc.) are identical regardless of which path is chosen. Future differences in capital costs are directly accounted for in the decision based on the capital cost representation option selected.</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b/>
        </w:rPr>
        <w:t>Note:</w:t>
      </w:r>
      <w:r w:rsidRPr="000F22FE">
        <w:rPr>
          <w:rFonts w:ascii="Arial" w:hAnsi="Arial" w:cs="Arial"/>
        </w:rPr>
        <w:t xml:space="preserve">  Time dependent characteristics of alternatives must not be modeled if plans are allowed to converge at a single point using Bellman's Principle of Optimality.</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For minimization of utility cost, the path selected is the one producing the lowest present value total state utility cost. For minimization of rates, the path selected is the one producing the lowest rate. For minimization of total cost, the path selected is the one producing the lowest present value total state cost (including cost born by the customer). For minimization of societal cost, the path selected is the one producing the lowest present value societal cost (including external costs).  For maximization of unit profitability, the path selected is the one producing the highest present value unit profits (revenues less operating and capital expenses).</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In general, financial optimization may not be performed using dynamic programming.  Since one year's beginning balances vary based on the previous year's ending balances, Bellman's Principle is not satisfied.  In order to rank expansion plans based on financial measures, PROVIEW must first optimize based on one of the objective functions described above.  Then, PROVIEW will analyze each saved plan over the planning period and re</w:t>
      </w:r>
      <w:r w:rsidR="00D410C4">
        <w:rPr>
          <w:rFonts w:ascii="Arial" w:hAnsi="Arial" w:cs="Arial"/>
        </w:rPr>
        <w:t>-</w:t>
      </w:r>
      <w:r w:rsidRPr="000F22FE">
        <w:rPr>
          <w:rFonts w:ascii="Arial" w:hAnsi="Arial" w:cs="Arial"/>
        </w:rPr>
        <w:t>rank based on:</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w:t>
      </w:r>
      <w:r w:rsidRPr="000F22FE">
        <w:rPr>
          <w:rFonts w:ascii="Arial" w:hAnsi="Arial" w:cs="Arial"/>
        </w:rPr>
        <w:tab/>
        <w:t>Electric Revenue (¢/kWh)</w:t>
      </w:r>
    </w:p>
    <w:p w:rsidR="001A1FA9" w:rsidRPr="000F22FE" w:rsidRDefault="001A1FA9">
      <w:pPr>
        <w:rPr>
          <w:rFonts w:ascii="Arial" w:hAnsi="Arial" w:cs="Arial"/>
        </w:rPr>
      </w:pPr>
      <w:r w:rsidRPr="000F22FE">
        <w:rPr>
          <w:rFonts w:ascii="Arial" w:hAnsi="Arial" w:cs="Arial"/>
        </w:rPr>
        <w:t>·</w:t>
      </w:r>
      <w:r w:rsidRPr="000F22FE">
        <w:rPr>
          <w:rFonts w:ascii="Arial" w:hAnsi="Arial" w:cs="Arial"/>
        </w:rPr>
        <w:tab/>
        <w:t>Corporate Value of Firm</w:t>
      </w:r>
    </w:p>
    <w:p w:rsidR="001A1FA9" w:rsidRPr="000F22FE" w:rsidRDefault="001A1FA9">
      <w:pPr>
        <w:rPr>
          <w:rFonts w:ascii="Arial" w:hAnsi="Arial" w:cs="Arial"/>
        </w:rPr>
      </w:pPr>
      <w:r w:rsidRPr="000F22FE">
        <w:rPr>
          <w:rFonts w:ascii="Arial" w:hAnsi="Arial" w:cs="Arial"/>
        </w:rPr>
        <w:t>·</w:t>
      </w:r>
      <w:r w:rsidRPr="000F22FE">
        <w:rPr>
          <w:rFonts w:ascii="Arial" w:hAnsi="Arial" w:cs="Arial"/>
        </w:rPr>
        <w:tab/>
        <w:t>Economic Profit</w:t>
      </w:r>
    </w:p>
    <w:p w:rsidR="001A1FA9" w:rsidRPr="000F22FE" w:rsidRDefault="001A1FA9">
      <w:pPr>
        <w:rPr>
          <w:rFonts w:ascii="Arial" w:hAnsi="Arial" w:cs="Arial"/>
        </w:rPr>
      </w:pPr>
      <w:r w:rsidRPr="000F22FE">
        <w:rPr>
          <w:rFonts w:ascii="Arial" w:hAnsi="Arial" w:cs="Arial"/>
        </w:rPr>
        <w:t>·</w:t>
      </w:r>
      <w:r w:rsidRPr="000F22FE">
        <w:rPr>
          <w:rFonts w:ascii="Arial" w:hAnsi="Arial" w:cs="Arial"/>
        </w:rPr>
        <w:tab/>
        <w:t>Earnings per Share</w:t>
      </w:r>
    </w:p>
    <w:p w:rsidR="001A1FA9" w:rsidRPr="000F22FE" w:rsidRDefault="001A1FA9">
      <w:pPr>
        <w:rPr>
          <w:rFonts w:ascii="Arial" w:hAnsi="Arial" w:cs="Arial"/>
        </w:rPr>
      </w:pPr>
      <w:r w:rsidRPr="000F22FE">
        <w:rPr>
          <w:rFonts w:ascii="Arial" w:hAnsi="Arial" w:cs="Arial"/>
        </w:rPr>
        <w:t>·</w:t>
      </w:r>
      <w:r w:rsidRPr="000F22FE">
        <w:rPr>
          <w:rFonts w:ascii="Arial" w:hAnsi="Arial" w:cs="Arial"/>
        </w:rPr>
        <w:tab/>
        <w:t>Value per Share</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In order to be consistent with Bellman's Principle and dynamic programming optimization theory, the analyst should not allow the alternative's operating characteristics and capacity to change during the optimization period. However, if an alternative is to be modeled whose market penetrations, operating characteristics, or capacity changes during the optimization period, it is possible to tell PROVIEW not to eliminate multiple origin states. This causes PROVIEW's dynamic optimization to revert to direct enumeration for this alternative. Setting the PRV.INPUT.ALTERNATIVE DATA.CONVERGENT STATES SWITCH to 2 will deactivate the convergent states logic. This is particularly useful when modeling market programs that typically have ramping costs or penetrations, or generating units with an immaturity period for forced outages. If the logic has been deactivated, and the alternative is present in equal number in the states that converge, and it was added in different years, then both states are considered to be different. Both states will be saved and the convergent states logic will not be run.</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b/>
        </w:rPr>
        <w:t>Note:</w:t>
      </w:r>
      <w:r w:rsidRPr="000F22FE">
        <w:rPr>
          <w:rFonts w:ascii="Arial" w:hAnsi="Arial" w:cs="Arial"/>
        </w:rPr>
        <w:t xml:space="preserve">  Saving both states can have a significant impact on the time and size of the problem. It is suggested that the user restrict the availability of such options.</w:t>
      </w:r>
    </w:p>
    <w:p w:rsidR="001A1FA9" w:rsidRPr="000F22FE" w:rsidRDefault="001A1FA9">
      <w:pPr>
        <w:pStyle w:val="Header"/>
        <w:tabs>
          <w:tab w:val="clear" w:pos="4320"/>
          <w:tab w:val="clear" w:pos="8640"/>
        </w:tabs>
        <w:rPr>
          <w:rFonts w:ascii="Arial" w:hAnsi="Arial" w:cs="Arial"/>
        </w:rPr>
      </w:pPr>
    </w:p>
    <w:p w:rsidR="001A1FA9" w:rsidRDefault="001A1FA9">
      <w:pPr>
        <w:pStyle w:val="Header"/>
        <w:tabs>
          <w:tab w:val="clear" w:pos="4320"/>
          <w:tab w:val="clear" w:pos="8640"/>
        </w:tabs>
        <w:rPr>
          <w:rFonts w:ascii="Arial" w:hAnsi="Arial" w:cs="Arial"/>
        </w:rPr>
      </w:pPr>
    </w:p>
    <w:p w:rsidR="00D410C4" w:rsidRDefault="00D410C4">
      <w:pPr>
        <w:pStyle w:val="Header"/>
        <w:tabs>
          <w:tab w:val="clear" w:pos="4320"/>
          <w:tab w:val="clear" w:pos="8640"/>
        </w:tabs>
        <w:rPr>
          <w:rFonts w:ascii="Arial" w:hAnsi="Arial" w:cs="Arial"/>
        </w:rPr>
      </w:pPr>
    </w:p>
    <w:p w:rsidR="00D410C4" w:rsidRPr="000F22FE" w:rsidRDefault="00D410C4">
      <w:pPr>
        <w:pStyle w:val="Header"/>
        <w:tabs>
          <w:tab w:val="clear" w:pos="4320"/>
          <w:tab w:val="clear" w:pos="8640"/>
        </w:tabs>
        <w:rPr>
          <w:rFonts w:ascii="Arial" w:hAnsi="Arial" w:cs="Arial"/>
        </w:rPr>
      </w:pPr>
    </w:p>
    <w:p w:rsidR="001A1FA9" w:rsidRPr="000F22FE" w:rsidRDefault="001A1FA9">
      <w:pPr>
        <w:pStyle w:val="Heading1"/>
        <w:rPr>
          <w:rFonts w:ascii="Arial" w:hAnsi="Arial" w:cs="Arial"/>
        </w:rPr>
      </w:pPr>
      <w:r w:rsidRPr="000F22FE">
        <w:rPr>
          <w:rFonts w:ascii="Arial" w:hAnsi="Arial" w:cs="Arial"/>
        </w:rPr>
        <w:t xml:space="preserve">Dynamic Programming </w:t>
      </w:r>
      <w:proofErr w:type="gramStart"/>
      <w:r w:rsidRPr="000F22FE">
        <w:rPr>
          <w:rFonts w:ascii="Arial" w:hAnsi="Arial" w:cs="Arial"/>
        </w:rPr>
        <w:t>Versus</w:t>
      </w:r>
      <w:proofErr w:type="gramEnd"/>
      <w:r w:rsidRPr="000F22FE">
        <w:rPr>
          <w:rFonts w:ascii="Arial" w:hAnsi="Arial" w:cs="Arial"/>
        </w:rPr>
        <w:t xml:space="preserve"> Direct Enumeration</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The underlying assumption that distinguishes dynamic programming from direct enumeration is that, for direct enumeration, each state, regardless of the timing of commission dates, is considered unique. In essence, if the resources are subject to an immaturity period, each combination of alternatives would not be unique because of the timing differences. Direct enumeration would attempt to keep track of the availability transitions for each individual resource and thus create an extremely difficult computational and data storage problem.</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For certain resources, direct enumeration may be desired because of the transition that is an inherent nature of the resource. This may be particularly true for marketing program options, which only achieve their final penetration over a number of years. For these resources PROVIEW provides an option to override dynamic programming and pursue direct enumeration. The user will need to exercise care in developing data for these resources. It is suggested that the user restrict the availability of such marketing program options to particular years to reduce the state expansion. The override option is the convergent state switch.</w:t>
      </w: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pStyle w:val="Heading1"/>
        <w:rPr>
          <w:rFonts w:ascii="Arial" w:hAnsi="Arial" w:cs="Arial"/>
        </w:rPr>
      </w:pPr>
    </w:p>
    <w:p w:rsidR="001A1FA9" w:rsidRPr="000F22FE" w:rsidRDefault="001A1FA9">
      <w:pPr>
        <w:pStyle w:val="Heading1"/>
        <w:rPr>
          <w:rFonts w:ascii="Arial" w:hAnsi="Arial" w:cs="Arial"/>
        </w:rPr>
      </w:pPr>
    </w:p>
    <w:p w:rsidR="001A1FA9" w:rsidRPr="000F22FE" w:rsidRDefault="001A1FA9">
      <w:pPr>
        <w:pStyle w:val="Heading1"/>
        <w:rPr>
          <w:rFonts w:ascii="Arial" w:hAnsi="Arial" w:cs="Arial"/>
        </w:rPr>
      </w:pPr>
    </w:p>
    <w:p w:rsidR="001A1FA9" w:rsidRPr="000F22FE" w:rsidRDefault="001A1FA9">
      <w:pPr>
        <w:pStyle w:val="Heading1"/>
        <w:rPr>
          <w:rFonts w:ascii="Arial" w:hAnsi="Arial" w:cs="Arial"/>
        </w:rPr>
      </w:pPr>
      <w:r w:rsidRPr="000F22FE">
        <w:rPr>
          <w:rFonts w:ascii="Arial" w:hAnsi="Arial" w:cs="Arial"/>
        </w:rPr>
        <w:t xml:space="preserve">Dynamic Programming </w:t>
      </w:r>
      <w:proofErr w:type="gramStart"/>
      <w:r w:rsidRPr="000F22FE">
        <w:rPr>
          <w:rFonts w:ascii="Arial" w:hAnsi="Arial" w:cs="Arial"/>
        </w:rPr>
        <w:t>Versus</w:t>
      </w:r>
      <w:proofErr w:type="gramEnd"/>
      <w:r w:rsidRPr="000F22FE">
        <w:rPr>
          <w:rFonts w:ascii="Arial" w:hAnsi="Arial" w:cs="Arial"/>
        </w:rPr>
        <w:t xml:space="preserve"> Year-by-Year Analysis</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The basic difference between a year-by-year analysis such as the Iterative Cost Effectiveness Methodology and dynamic programming is that the year-by-year approach commits to a decision each year. This approach reduces both the number of combinations considered and computational time required. However, this approach overlooks the situation where a higher cost decision in a single year results in an overall savings for the entire plan. For example, one would not install a CT in one year if a coal unit was required in the next and the CT could be avoided by commissioning the coal unit a year early.</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This method, which inherently relies on first–year impacts, works well in most cases for resources such as power plants which have relatively mature effects in their first year of operation. However, due to the phased implementation actually required for marketing management programs, a year-by-year analysis fails to identify cost–effective marketing blocks. For resources such as conservation programs, which achieve only modest levels of saturation in the early years, a year-by-year analysis tends to underestimate the resource value.</w:t>
      </w:r>
    </w:p>
    <w:p w:rsidR="001A1FA9" w:rsidRPr="000F22FE" w:rsidRDefault="001A1FA9">
      <w:pPr>
        <w:rPr>
          <w:rFonts w:ascii="Arial" w:hAnsi="Arial" w:cs="Arial"/>
        </w:rPr>
      </w:pPr>
    </w:p>
    <w:p w:rsidR="001A1FA9" w:rsidRPr="000F22FE" w:rsidRDefault="001A1FA9">
      <w:pPr>
        <w:rPr>
          <w:rFonts w:ascii="Arial" w:hAnsi="Arial" w:cs="Arial"/>
        </w:rPr>
      </w:pPr>
      <w:r w:rsidRPr="000F22FE">
        <w:rPr>
          <w:rFonts w:ascii="Arial" w:hAnsi="Arial" w:cs="Arial"/>
        </w:rPr>
        <w:t>Dynamic programming saves all of the feasible states from each year during the planning period. Once the state with the lowest objective function value in the end effects period is selected, the yearly states are identified by tracing back through the matrix of feasible states. This approach does not allow a decision in a single year to bias the final plan.</w:t>
      </w: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1A1FA9">
      <w:pPr>
        <w:rPr>
          <w:rFonts w:ascii="Arial" w:hAnsi="Arial" w:cs="Arial"/>
        </w:rPr>
      </w:pPr>
    </w:p>
    <w:p w:rsidR="001A1FA9" w:rsidRPr="000F22FE" w:rsidRDefault="00923CAB">
      <w:pPr>
        <w:rPr>
          <w:rFonts w:ascii="Arial" w:hAnsi="Arial" w:cs="Arial"/>
        </w:rPr>
      </w:pPr>
      <w:r>
        <w:rPr>
          <w:rFonts w:ascii="Arial" w:hAnsi="Arial" w:cs="Arial"/>
          <w:noProof/>
        </w:rPr>
        <w:drawing>
          <wp:anchor distT="0" distB="0" distL="114300" distR="114300" simplePos="0" relativeHeight="251658752" behindDoc="0" locked="0" layoutInCell="0" allowOverlap="1">
            <wp:simplePos x="0" y="0"/>
            <wp:positionH relativeFrom="column">
              <wp:posOffset>0</wp:posOffset>
            </wp:positionH>
            <wp:positionV relativeFrom="paragraph">
              <wp:posOffset>0</wp:posOffset>
            </wp:positionV>
            <wp:extent cx="5048250" cy="8022590"/>
            <wp:effectExtent l="1905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a:stretch>
                      <a:fillRect/>
                    </a:stretch>
                  </pic:blipFill>
                  <pic:spPr bwMode="auto">
                    <a:xfrm>
                      <a:off x="0" y="0"/>
                      <a:ext cx="5048250" cy="8022590"/>
                    </a:xfrm>
                    <a:prstGeom prst="rect">
                      <a:avLst/>
                    </a:prstGeom>
                    <a:noFill/>
                    <a:ln w="9525">
                      <a:noFill/>
                      <a:miter lim="800000"/>
                      <a:headEnd/>
                      <a:tailEnd/>
                    </a:ln>
                  </pic:spPr>
                </pic:pic>
              </a:graphicData>
            </a:graphic>
          </wp:anchor>
        </w:drawing>
      </w:r>
      <w:r>
        <w:rPr>
          <w:rFonts w:ascii="Arial" w:hAnsi="Arial" w:cs="Arial"/>
          <w:noProof/>
        </w:rPr>
        <w:drawing>
          <wp:anchor distT="0" distB="0" distL="114300" distR="114300" simplePos="0" relativeHeight="251657728" behindDoc="0" locked="0" layoutInCell="0" allowOverlap="1">
            <wp:simplePos x="0" y="0"/>
            <wp:positionH relativeFrom="column">
              <wp:posOffset>0</wp:posOffset>
            </wp:positionH>
            <wp:positionV relativeFrom="paragraph">
              <wp:posOffset>0</wp:posOffset>
            </wp:positionV>
            <wp:extent cx="5048250" cy="8122285"/>
            <wp:effectExtent l="1905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cstate="print"/>
                    <a:srcRect/>
                    <a:stretch>
                      <a:fillRect/>
                    </a:stretch>
                  </pic:blipFill>
                  <pic:spPr bwMode="auto">
                    <a:xfrm>
                      <a:off x="0" y="0"/>
                      <a:ext cx="5048250" cy="8122285"/>
                    </a:xfrm>
                    <a:prstGeom prst="rect">
                      <a:avLst/>
                    </a:prstGeom>
                    <a:noFill/>
                    <a:ln w="9525">
                      <a:noFill/>
                      <a:miter lim="800000"/>
                      <a:headEnd/>
                      <a:tailEnd/>
                    </a:ln>
                  </pic:spPr>
                </pic:pic>
              </a:graphicData>
            </a:graphic>
          </wp:anchor>
        </w:drawing>
      </w:r>
    </w:p>
    <w:p w:rsidR="001A1FA9" w:rsidRPr="000F22FE" w:rsidRDefault="00923CAB">
      <w:pPr>
        <w:rPr>
          <w:rFonts w:ascii="Arial" w:hAnsi="Arial" w:cs="Arial"/>
        </w:rPr>
      </w:pPr>
      <w:r>
        <w:rPr>
          <w:rFonts w:ascii="Arial" w:hAnsi="Arial" w:cs="Arial"/>
          <w:noProof/>
        </w:rPr>
        <w:drawing>
          <wp:anchor distT="0" distB="0" distL="114300" distR="114300" simplePos="0" relativeHeight="251656704" behindDoc="0" locked="0" layoutInCell="0" allowOverlap="1">
            <wp:simplePos x="0" y="0"/>
            <wp:positionH relativeFrom="column">
              <wp:posOffset>0</wp:posOffset>
            </wp:positionH>
            <wp:positionV relativeFrom="paragraph">
              <wp:posOffset>0</wp:posOffset>
            </wp:positionV>
            <wp:extent cx="5072380" cy="7856855"/>
            <wp:effectExtent l="1905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5072380" cy="7856855"/>
                    </a:xfrm>
                    <a:prstGeom prst="rect">
                      <a:avLst/>
                    </a:prstGeom>
                    <a:noFill/>
                    <a:ln w="9525">
                      <a:noFill/>
                      <a:miter lim="800000"/>
                      <a:headEnd/>
                      <a:tailEnd/>
                    </a:ln>
                  </pic:spPr>
                </pic:pic>
              </a:graphicData>
            </a:graphic>
          </wp:anchor>
        </w:drawing>
      </w:r>
    </w:p>
    <w:sectPr w:rsidR="001A1FA9" w:rsidRPr="000F22FE" w:rsidSect="0043520C">
      <w:headerReference w:type="even" r:id="rId8"/>
      <w:headerReference w:type="default" r:id="rId9"/>
      <w:footerReference w:type="even" r:id="rId10"/>
      <w:footerReference w:type="default" r:id="rId11"/>
      <w:headerReference w:type="first" r:id="rId12"/>
      <w:footerReference w:type="first" r:id="rId13"/>
      <w:pgSz w:w="12240" w:h="15840"/>
      <w:pgMar w:top="1440" w:right="1800" w:bottom="1440" w:left="180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302D" w:rsidRDefault="0076302D">
      <w:r>
        <w:separator/>
      </w:r>
    </w:p>
  </w:endnote>
  <w:endnote w:type="continuationSeparator" w:id="0">
    <w:p w:rsidR="0076302D" w:rsidRDefault="0076302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85D" w:rsidRDefault="008C685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85D" w:rsidRDefault="008C685D">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85D" w:rsidRDefault="008C685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302D" w:rsidRDefault="0076302D">
      <w:r>
        <w:separator/>
      </w:r>
    </w:p>
  </w:footnote>
  <w:footnote w:type="continuationSeparator" w:id="0">
    <w:p w:rsidR="0076302D" w:rsidRDefault="0076302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85D" w:rsidRDefault="008C685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D1E" w:rsidRPr="008C685D" w:rsidRDefault="00FE1D1E" w:rsidP="004C2FEE">
    <w:pPr>
      <w:pStyle w:val="Header"/>
      <w:tabs>
        <w:tab w:val="clear" w:pos="4320"/>
      </w:tabs>
      <w:rPr>
        <w:b/>
        <w:sz w:val="24"/>
      </w:rPr>
    </w:pPr>
    <w:r w:rsidRPr="008C685D">
      <w:rPr>
        <w:b/>
        <w:sz w:val="24"/>
      </w:rPr>
      <w:tab/>
    </w:r>
    <w:r w:rsidR="000767EC" w:rsidRPr="008C685D">
      <w:rPr>
        <w:b/>
        <w:sz w:val="24"/>
      </w:rPr>
      <w:t>PUBLIC DISCLOSURE</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85D" w:rsidRDefault="008C685D">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writeProtection w:recommended="1"/>
  <w:zoom w:percent="100"/>
  <w:removePersonalInformation/>
  <w:removeDateAndTime/>
  <w:embedSystemFonts/>
  <w:proofState w:spelling="clean" w:grammar="clean"/>
  <w:stylePaneFormatFilter w:val="3F01"/>
  <w:defaultTabStop w:val="720"/>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rsids>
    <w:rsidRoot w:val="00B3244B"/>
    <w:rsid w:val="00062C90"/>
    <w:rsid w:val="000767EC"/>
    <w:rsid w:val="00090DD2"/>
    <w:rsid w:val="000C4D7C"/>
    <w:rsid w:val="000F22FE"/>
    <w:rsid w:val="001A1FA9"/>
    <w:rsid w:val="001D3AA5"/>
    <w:rsid w:val="002800A0"/>
    <w:rsid w:val="002A15C2"/>
    <w:rsid w:val="003025BA"/>
    <w:rsid w:val="00311AE1"/>
    <w:rsid w:val="00386DBF"/>
    <w:rsid w:val="0043520C"/>
    <w:rsid w:val="004C2FEE"/>
    <w:rsid w:val="005324B2"/>
    <w:rsid w:val="00551A75"/>
    <w:rsid w:val="005A42E6"/>
    <w:rsid w:val="00613F80"/>
    <w:rsid w:val="00651B5C"/>
    <w:rsid w:val="00692AEA"/>
    <w:rsid w:val="00746CCC"/>
    <w:rsid w:val="0076302D"/>
    <w:rsid w:val="00792D87"/>
    <w:rsid w:val="008C685D"/>
    <w:rsid w:val="00923CAB"/>
    <w:rsid w:val="00A54587"/>
    <w:rsid w:val="00B3244B"/>
    <w:rsid w:val="00C06195"/>
    <w:rsid w:val="00C42FFC"/>
    <w:rsid w:val="00C7652F"/>
    <w:rsid w:val="00D07ECE"/>
    <w:rsid w:val="00D410C4"/>
    <w:rsid w:val="00E91CB5"/>
    <w:rsid w:val="00ED61F6"/>
    <w:rsid w:val="00FB35FC"/>
    <w:rsid w:val="00FE1D1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3520C"/>
  </w:style>
  <w:style w:type="paragraph" w:styleId="Heading1">
    <w:name w:val="heading 1"/>
    <w:basedOn w:val="Normal"/>
    <w:next w:val="Normal"/>
    <w:qFormat/>
    <w:rsid w:val="0043520C"/>
    <w:pPr>
      <w:keepNext/>
      <w:outlineLvl w:val="0"/>
    </w:pPr>
    <w:rPr>
      <w:b/>
      <w:sz w:val="24"/>
    </w:rPr>
  </w:style>
  <w:style w:type="paragraph" w:styleId="Heading2">
    <w:name w:val="heading 2"/>
    <w:basedOn w:val="Normal"/>
    <w:next w:val="Normal"/>
    <w:qFormat/>
    <w:rsid w:val="0043520C"/>
    <w:pPr>
      <w:keepNext/>
      <w:jc w:val="center"/>
      <w:outlineLvl w:val="1"/>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3520C"/>
    <w:pPr>
      <w:tabs>
        <w:tab w:val="center" w:pos="4320"/>
        <w:tab w:val="right" w:pos="8640"/>
      </w:tabs>
    </w:pPr>
  </w:style>
  <w:style w:type="paragraph" w:styleId="Footer">
    <w:name w:val="footer"/>
    <w:basedOn w:val="Normal"/>
    <w:rsid w:val="0043520C"/>
    <w:pPr>
      <w:tabs>
        <w:tab w:val="center" w:pos="4320"/>
        <w:tab w:val="right" w:pos="8640"/>
      </w:tabs>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21322452">
      <w:bodyDiv w:val="1"/>
      <w:marLeft w:val="0"/>
      <w:marRight w:val="0"/>
      <w:marTop w:val="0"/>
      <w:marBottom w:val="0"/>
      <w:divBdr>
        <w:top w:val="none" w:sz="0" w:space="0" w:color="auto"/>
        <w:left w:val="none" w:sz="0" w:space="0" w:color="auto"/>
        <w:bottom w:val="none" w:sz="0" w:space="0" w:color="auto"/>
        <w:right w:val="none" w:sz="0" w:space="0" w:color="auto"/>
      </w:divBdr>
    </w:div>
    <w:div w:id="1261526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webSettings" Target="webSettings.xml"/><Relationship Id="rId7" Type="http://schemas.openxmlformats.org/officeDocument/2006/relationships/image" Target="media/image2.wmf"/><Relationship Id="rId12" Type="http://schemas.openxmlformats.org/officeDocument/2006/relationships/header" Target="header3.xml"/><Relationship Id="rId2" Type="http://schemas.openxmlformats.org/officeDocument/2006/relationships/settings" Target="settings.xml"/><Relationship Id="rId16"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2885</Words>
  <Characters>15887</Characters>
  <Application>Microsoft Office Word</Application>
  <DocSecurity>2</DocSecurity>
  <Lines>132</Lines>
  <Paragraphs>37</Paragraphs>
  <ScaleCrop>false</ScaleCrop>
  <Company/>
  <LinksUpToDate>false</LinksUpToDate>
  <CharactersWithSpaces>18735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2013-01-30T22:55:00Z</dcterms:created>
  <dcterms:modified xsi:type="dcterms:W3CDTF">2013-01-30T22:55:00Z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